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both"/>
        <w:rPr>
          <w:rFonts w:hint="default" w:ascii="Times New Roman" w:hAnsi="Times New Roman" w:eastAsia="方正小标宋_GBK" w:cs="Times New Roman"/>
          <w:sz w:val="52"/>
          <w:szCs w:val="52"/>
          <w:highlight w:val="none"/>
        </w:rPr>
      </w:pPr>
    </w:p>
    <w:p>
      <w:pPr>
        <w:jc w:val="both"/>
        <w:rPr>
          <w:rFonts w:hint="default" w:ascii="Times New Roman" w:hAnsi="Times New Roman" w:eastAsia="方正小标宋_GBK" w:cs="Times New Roman"/>
          <w:sz w:val="52"/>
          <w:szCs w:val="52"/>
          <w:highlight w:val="none"/>
        </w:rPr>
      </w:pP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岳阳市妇幼保健院</w:t>
      </w:r>
      <w:r>
        <w:rPr>
          <w:rFonts w:hint="eastAsia" w:ascii="方正小标宋简体" w:hAnsi="方正小标宋简体" w:eastAsia="方正小标宋简体" w:cs="方正小标宋简体"/>
          <w:sz w:val="44"/>
          <w:szCs w:val="44"/>
          <w:highlight w:val="none"/>
        </w:rPr>
        <w:t>（单位）</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lang w:val="en-US"/>
        </w:rPr>
        <w:t>2024</w:t>
      </w:r>
      <w:r>
        <w:rPr>
          <w:rFonts w:hint="default" w:ascii="Times New Roman" w:hAnsi="Times New Roman" w:eastAsia="楷体_GB2312" w:cs="Times New Roman"/>
          <w:sz w:val="32"/>
          <w:szCs w:val="32"/>
          <w:highlight w:val="none"/>
        </w:rPr>
        <w:t>年</w:t>
      </w:r>
      <w:r>
        <w:rPr>
          <w:rFonts w:hint="default" w:ascii="Times New Roman" w:hAnsi="Times New Roman" w:eastAsia="楷体_GB2312" w:cs="Times New Roman"/>
          <w:sz w:val="32"/>
          <w:szCs w:val="32"/>
          <w:highlight w:val="none"/>
          <w:lang w:val="en-US"/>
        </w:rPr>
        <w:t>6</w:t>
      </w:r>
      <w:r>
        <w:rPr>
          <w:rFonts w:hint="default" w:ascii="Times New Roman" w:hAnsi="Times New Roman" w:eastAsia="楷体_GB2312" w:cs="Times New Roman"/>
          <w:sz w:val="32"/>
          <w:szCs w:val="32"/>
          <w:highlight w:val="none"/>
        </w:rPr>
        <w:t>月</w:t>
      </w:r>
      <w:r>
        <w:rPr>
          <w:rFonts w:hint="default" w:ascii="Times New Roman" w:hAnsi="Times New Roman" w:eastAsia="楷体_GB2312" w:cs="Times New Roman"/>
          <w:sz w:val="32"/>
          <w:szCs w:val="32"/>
          <w:highlight w:val="none"/>
          <w:lang w:val="en-US"/>
        </w:rPr>
        <w:t>5</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岳阳市妇幼保健院</w:t>
      </w:r>
      <w:r>
        <w:rPr>
          <w:rFonts w:hint="eastAsia" w:ascii="方正小标宋简体" w:hAnsi="方正小标宋简体" w:eastAsia="方正小标宋简体" w:cs="方正小标宋简体"/>
          <w:sz w:val="44"/>
          <w:szCs w:val="44"/>
          <w:highlight w:val="none"/>
        </w:rPr>
        <w:t>（单位）</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rPr>
        <w:t>岳阳市妇幼保健院始建于1964年，是一所集预防、保健、医疗、教学、科研、康复于一体的三级甲等妇幼保健院。医院下设二级机构“岳阳市儿童医院”、“岳阳市生殖与遗传专科医院”。由岳阳市卫生健康委员会举办，经岳阳市事业登记管理局批准</w:t>
      </w:r>
      <w:r>
        <w:rPr>
          <w:rFonts w:hint="eastAsia" w:ascii="仿宋" w:hAnsi="仿宋" w:eastAsia="仿宋" w:cs="仿宋"/>
          <w:sz w:val="32"/>
          <w:szCs w:val="24"/>
          <w:lang w:eastAsia="zh-CN"/>
        </w:rPr>
        <w:t>。主要职能包括：</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（1）负责指导全市妇幼保健工作，指导乡镇卫生院产科建设，开展社区卫生服务。</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（2）负责全市妇幼卫生干部培训工作。</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（3）负责贯彻执行《母婴保健法》，开展母婴保健服务技术指导工作。</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（4）负责全市孕产妇急救服务工作。</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（5）负责全市妇幼卫生信息统计分析。</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（6）负责全市爱婴医院创建、医疗、科研、健康教育等工作。</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（7）协助卫生行政部门制定全市妇幼卫生工作规划并组织实施，提高出生人口素质以及全民族身体素质。</w:t>
      </w:r>
    </w:p>
    <w:p>
      <w:pPr>
        <w:pStyle w:val="5"/>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kern w:val="0"/>
          <w:sz w:val="32"/>
          <w:szCs w:val="24"/>
          <w:lang w:val="en-US" w:eastAsia="zh-CN" w:bidi="ar-SA"/>
        </w:rPr>
        <w:t>医院现有职工920人，其中卫生技术人员800人，副高以上职称148人（其中正高27人，副高121人），有博士研究生5人（其中博士后3人）、硕士研究生72人，岳阳市首席专家4人，享受湖南省政府特殊津贴专家1人，湖南省名老中医1人，岳阳市名医8人，享受岳阳市政府特殊津贴专家4人，教授8人，硕士研究生导师7人，博士研究生导师1人。</w:t>
      </w:r>
    </w:p>
    <w:p>
      <w:pPr>
        <w:keepNext w:val="0"/>
        <w:keepLines w:val="0"/>
        <w:pageBreakBefore w:val="0"/>
        <w:widowControl w:val="0"/>
        <w:kinsoku/>
        <w:wordWrap/>
        <w:overflowPunct/>
        <w:topLinePunct w:val="0"/>
        <w:autoSpaceDE/>
        <w:autoSpaceDN/>
        <w:bidi w:val="0"/>
        <w:adjustRightInd/>
        <w:snapToGrid/>
        <w:spacing w:line="360" w:lineRule="auto"/>
        <w:ind w:left="23" w:firstLine="640" w:firstLineChars="200"/>
        <w:textAlignment w:val="auto"/>
        <w:rPr>
          <w:rFonts w:hint="eastAsia" w:ascii="仿宋" w:hAnsi="仿宋" w:eastAsia="仿宋" w:cs="仿宋"/>
          <w:sz w:val="32"/>
          <w:szCs w:val="24"/>
        </w:rPr>
      </w:pPr>
      <w:r>
        <w:rPr>
          <w:rFonts w:hint="eastAsia" w:ascii="仿宋" w:hAnsi="仿宋" w:eastAsia="仿宋" w:cs="仿宋"/>
          <w:sz w:val="32"/>
          <w:szCs w:val="24"/>
        </w:rPr>
        <w:t>临床保健科室包括产科、新生儿科、儿童保健科、儿科、妇科、妇女保健科、生殖医学中心、小儿外科、泌尿外科、乳甲外科、急诊科、麻醉科、检验科、医学遗传科、功能科、病理科、门诊部、手术室、体检中心等，职能科室包括财务部、党办、办公室、组织人事部、医务部、护理部、医学装备部、医疗保险部、科教科、后勤服务部、药学办、院感科等。</w:t>
      </w:r>
    </w:p>
    <w:p>
      <w:pPr>
        <w:pStyle w:val="5"/>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5"/>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5"/>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基本支出1787.03万元，其中，一般公共预算财政拨款支出1769.87万元。无政府性基金预算支出、国有资本经营预算支出、社会保险基金预算支出。人员支出1731.91万元，公用支出37.96万元，其中：</w:t>
      </w:r>
    </w:p>
    <w:p>
      <w:pPr>
        <w:pStyle w:val="5"/>
        <w:keepNext w:val="0"/>
        <w:keepLines w:val="0"/>
        <w:pageBreakBefore w:val="0"/>
        <w:widowControl/>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工资福利支出1622.70万元，主要包括在职人员基本工资、津补贴、绩效工资、基本养老保险、基本医疗保险、工伤保险和住房公积金。</w:t>
      </w:r>
    </w:p>
    <w:p>
      <w:pPr>
        <w:pStyle w:val="5"/>
        <w:keepNext w:val="0"/>
        <w:keepLines w:val="0"/>
        <w:pageBreakBefore w:val="0"/>
        <w:widowControl/>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商品和服务支出37.96万元，主要包括专用材料费、工会经费和其他商品和服务支出等。</w:t>
      </w:r>
    </w:p>
    <w:p>
      <w:pPr>
        <w:pStyle w:val="5"/>
        <w:keepNext w:val="0"/>
        <w:keepLines w:val="0"/>
        <w:pageBreakBefore w:val="0"/>
        <w:widowControl/>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对个人和家庭补助支出109.21万元，主要包括离休费、退休费、生活补助、其他对个人和家庭的补助。</w:t>
      </w:r>
    </w:p>
    <w:p>
      <w:pPr>
        <w:pStyle w:val="5"/>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641"/>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项目支出1806.46万元，一般公共预算财政拨款支出938.79万元。无政府性基金预算支出、国有资本经营预算支出、社会保险基金预算支出。其中：</w:t>
      </w:r>
    </w:p>
    <w:p>
      <w:pPr>
        <w:pStyle w:val="5"/>
        <w:keepNext w:val="0"/>
        <w:keepLines w:val="0"/>
        <w:pageBreakBefore w:val="0"/>
        <w:widowControl/>
        <w:numPr>
          <w:ilvl w:val="0"/>
          <w:numId w:val="4"/>
        </w:numPr>
        <w:kinsoku/>
        <w:wordWrap/>
        <w:overflowPunct/>
        <w:topLinePunct w:val="0"/>
        <w:autoSpaceDE/>
        <w:autoSpaceDN/>
        <w:bidi w:val="0"/>
        <w:adjustRightInd/>
        <w:snapToGrid/>
        <w:spacing w:line="360" w:lineRule="auto"/>
        <w:ind w:left="199" w:leftChars="0" w:firstLine="641" w:firstLineChars="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商品和服务支出176.36万元，主要包括办公费、印刷费、差旅费、维修（护）费、培训费、专用材料费、劳务费、其他交通费和其他商品和服务支出等。</w:t>
      </w:r>
    </w:p>
    <w:p>
      <w:pPr>
        <w:pStyle w:val="5"/>
        <w:keepNext w:val="0"/>
        <w:keepLines w:val="0"/>
        <w:pageBreakBefore w:val="0"/>
        <w:widowControl/>
        <w:numPr>
          <w:ilvl w:val="0"/>
          <w:numId w:val="4"/>
        </w:numPr>
        <w:kinsoku/>
        <w:wordWrap/>
        <w:overflowPunct/>
        <w:topLinePunct w:val="0"/>
        <w:autoSpaceDE/>
        <w:autoSpaceDN/>
        <w:bidi w:val="0"/>
        <w:adjustRightInd/>
        <w:snapToGrid/>
        <w:spacing w:line="360" w:lineRule="auto"/>
        <w:ind w:left="199" w:leftChars="0" w:firstLine="641" w:firstLineChars="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对个人和家庭补助支出437.86万元，主要包括离休费、退休费、其他对个人和家庭的补助。</w:t>
      </w:r>
    </w:p>
    <w:p>
      <w:pPr>
        <w:pStyle w:val="5"/>
        <w:keepNext w:val="0"/>
        <w:keepLines w:val="0"/>
        <w:pageBreakBefore w:val="0"/>
        <w:widowControl/>
        <w:numPr>
          <w:ilvl w:val="0"/>
          <w:numId w:val="4"/>
        </w:numPr>
        <w:kinsoku/>
        <w:wordWrap/>
        <w:overflowPunct/>
        <w:topLinePunct w:val="0"/>
        <w:autoSpaceDE/>
        <w:autoSpaceDN/>
        <w:bidi w:val="0"/>
        <w:adjustRightInd/>
        <w:snapToGrid/>
        <w:spacing w:line="360" w:lineRule="auto"/>
        <w:ind w:left="199" w:leftChars="0" w:firstLine="641" w:firstLineChars="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资本性支出228.62万元：主要包括其他基本建设支出、专用设备购置。</w:t>
      </w:r>
    </w:p>
    <w:p>
      <w:pPr>
        <w:pStyle w:val="5"/>
        <w:keepNext w:val="0"/>
        <w:keepLines w:val="0"/>
        <w:pageBreakBefore w:val="0"/>
        <w:widowControl/>
        <w:numPr>
          <w:ilvl w:val="0"/>
          <w:numId w:val="4"/>
        </w:numPr>
        <w:kinsoku/>
        <w:wordWrap/>
        <w:overflowPunct/>
        <w:topLinePunct w:val="0"/>
        <w:autoSpaceDE/>
        <w:autoSpaceDN/>
        <w:bidi w:val="0"/>
        <w:adjustRightInd/>
        <w:snapToGrid/>
        <w:spacing w:line="360" w:lineRule="auto"/>
        <w:ind w:left="199" w:leftChars="0" w:firstLine="641" w:firstLineChars="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其他支出95.96万元。</w:t>
      </w:r>
    </w:p>
    <w:p>
      <w:pPr>
        <w:pStyle w:val="5"/>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1120" w:leftChars="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无政府性基金预算支出</w:t>
      </w:r>
    </w:p>
    <w:p>
      <w:pPr>
        <w:pStyle w:val="5"/>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1120" w:leftChars="0"/>
        <w:jc w:val="both"/>
        <w:textAlignment w:val="auto"/>
        <w:rPr>
          <w:rFonts w:hint="eastAsia" w:ascii="仿宋" w:hAnsi="仿宋" w:eastAsia="仿宋" w:cs="仿宋"/>
          <w:sz w:val="32"/>
          <w:szCs w:val="32"/>
          <w:highlight w:val="none"/>
        </w:rPr>
      </w:pPr>
      <w:r>
        <w:rPr>
          <w:rFonts w:hint="eastAsia" w:ascii="仿宋" w:hAnsi="仿宋" w:eastAsia="仿宋" w:cs="仿宋"/>
          <w:kern w:val="0"/>
          <w:sz w:val="32"/>
          <w:szCs w:val="24"/>
          <w:lang w:val="en-US" w:eastAsia="zh-CN" w:bidi="ar-SA"/>
        </w:rPr>
        <w:t>无国有资本经营预算支出</w:t>
      </w:r>
    </w:p>
    <w:p>
      <w:pPr>
        <w:pStyle w:val="5"/>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kern w:val="0"/>
          <w:sz w:val="32"/>
          <w:szCs w:val="24"/>
          <w:lang w:val="en-US" w:eastAsia="zh-CN" w:bidi="ar-SA"/>
        </w:rPr>
      </w:pPr>
      <w:r>
        <w:rPr>
          <w:rFonts w:hint="eastAsia" w:ascii="Times New Roman" w:hAnsi="Times New Roman" w:eastAsia="黑体" w:cs="Times New Roman"/>
          <w:sz w:val="32"/>
          <w:szCs w:val="32"/>
          <w:highlight w:val="none"/>
          <w:lang w:val="en-US" w:eastAsia="zh-CN"/>
        </w:rPr>
        <w:t xml:space="preserve">       </w:t>
      </w:r>
      <w:r>
        <w:rPr>
          <w:rFonts w:hint="eastAsia" w:ascii="仿宋" w:hAnsi="仿宋" w:eastAsia="仿宋" w:cs="仿宋"/>
          <w:kern w:val="0"/>
          <w:sz w:val="32"/>
          <w:szCs w:val="24"/>
          <w:lang w:val="en-US" w:eastAsia="zh-CN" w:bidi="ar-SA"/>
        </w:rPr>
        <w:t>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eastAsia="zh-CN"/>
        </w:rPr>
      </w:pPr>
      <w:r>
        <w:rPr>
          <w:rFonts w:hint="eastAsia" w:eastAsia="仿宋" w:cs="仿宋"/>
          <w:color w:val="000000"/>
          <w:sz w:val="32"/>
          <w:szCs w:val="32"/>
          <w:highlight w:val="none"/>
          <w:lang w:eastAsia="zh-CN"/>
        </w:rPr>
        <w:t>（一）</w:t>
      </w:r>
      <w:r>
        <w:rPr>
          <w:rFonts w:hint="eastAsia" w:ascii="仿宋" w:hAnsi="仿宋" w:eastAsia="仿宋" w:cs="仿宋"/>
          <w:color w:val="000000"/>
          <w:sz w:val="32"/>
          <w:szCs w:val="32"/>
          <w:highlight w:val="none"/>
          <w:lang w:eastAsia="zh-CN"/>
        </w:rPr>
        <w:t>一般公共预算支出绩效目标完成情况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eastAsia="zh-CN"/>
        </w:rPr>
      </w:pPr>
      <w:r>
        <w:rPr>
          <w:rFonts w:hint="eastAsia" w:eastAsia="仿宋" w:cs="仿宋"/>
          <w:color w:val="000000"/>
          <w:sz w:val="32"/>
          <w:szCs w:val="32"/>
          <w:highlight w:val="none"/>
          <w:lang w:val="en-US" w:eastAsia="zh-CN"/>
        </w:rPr>
        <w:t>1、</w:t>
      </w:r>
      <w:r>
        <w:rPr>
          <w:rFonts w:hint="eastAsia" w:ascii="仿宋" w:hAnsi="仿宋" w:eastAsia="仿宋" w:cs="仿宋"/>
          <w:color w:val="000000"/>
          <w:sz w:val="32"/>
          <w:szCs w:val="32"/>
          <w:highlight w:val="none"/>
          <w:lang w:eastAsia="zh-CN"/>
        </w:rPr>
        <w:t>产出指标：</w:t>
      </w:r>
    </w:p>
    <w:p>
      <w:pPr>
        <w:keepNext w:val="0"/>
        <w:keepLines w:val="0"/>
        <w:pageBreakBefore w:val="0"/>
        <w:widowControl/>
        <w:numPr>
          <w:ilvl w:val="0"/>
          <w:numId w:val="5"/>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数量指标：重点学科数量在3个以上。实际为4个，市级重点学科三个：产科、新生儿科、生殖医学中心。省级中医重点专科：康复科。</w:t>
      </w:r>
    </w:p>
    <w:p>
      <w:pPr>
        <w:keepNext w:val="0"/>
        <w:keepLines w:val="0"/>
        <w:pageBreakBefore w:val="0"/>
        <w:widowControl/>
        <w:numPr>
          <w:ilvl w:val="0"/>
          <w:numId w:val="5"/>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质量指标：医疗服务质量提升，医疗服务收入占医疗收入比例大于20%，实际为33%。</w:t>
      </w:r>
    </w:p>
    <w:p>
      <w:pPr>
        <w:keepNext w:val="0"/>
        <w:keepLines w:val="0"/>
        <w:pageBreakBefore w:val="0"/>
        <w:widowControl/>
        <w:numPr>
          <w:ilvl w:val="0"/>
          <w:numId w:val="5"/>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时效指标：2023年内完成非税指标。实际在年度内完成上缴非税任务。</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2、</w:t>
      </w:r>
      <w:r>
        <w:rPr>
          <w:rFonts w:hint="eastAsia" w:ascii="仿宋" w:hAnsi="仿宋" w:eastAsia="仿宋" w:cs="仿宋"/>
          <w:color w:val="000000"/>
          <w:sz w:val="32"/>
          <w:szCs w:val="32"/>
          <w:highlight w:val="none"/>
          <w:lang w:val="en-US" w:eastAsia="zh-CN"/>
        </w:rPr>
        <w:t>满意度指标：</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服务对象满意度大于95%。在满意度调查中，门诊满意度94.5%，住院满意度92.6%。</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3、</w:t>
      </w:r>
      <w:r>
        <w:rPr>
          <w:rFonts w:hint="eastAsia" w:ascii="仿宋" w:hAnsi="仿宋" w:eastAsia="仿宋" w:cs="仿宋"/>
          <w:color w:val="000000"/>
          <w:sz w:val="32"/>
          <w:szCs w:val="32"/>
          <w:highlight w:val="none"/>
          <w:lang w:val="en-US" w:eastAsia="zh-CN"/>
        </w:rPr>
        <w:t>成本指标：</w:t>
      </w:r>
    </w:p>
    <w:p>
      <w:pPr>
        <w:keepNext w:val="0"/>
        <w:keepLines w:val="0"/>
        <w:pageBreakBefore w:val="0"/>
        <w:widowControl/>
        <w:numPr>
          <w:ilvl w:val="0"/>
          <w:numId w:val="6"/>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经济成本指标：收入稳定增长，同比增长5%。实际总收入增长</w:t>
      </w:r>
      <w:r>
        <w:rPr>
          <w:rFonts w:hint="default" w:eastAsia="仿宋" w:cs="仿宋"/>
          <w:color w:val="000000"/>
          <w:sz w:val="32"/>
          <w:szCs w:val="32"/>
          <w:highlight w:val="none"/>
          <w:lang w:val="en-US" w:eastAsia="zh-CN"/>
        </w:rPr>
        <w:t>2</w:t>
      </w:r>
      <w:r>
        <w:rPr>
          <w:rFonts w:hint="eastAsia" w:ascii="仿宋" w:hAnsi="仿宋" w:eastAsia="仿宋" w:cs="仿宋"/>
          <w:color w:val="000000"/>
          <w:sz w:val="32"/>
          <w:szCs w:val="32"/>
          <w:highlight w:val="none"/>
          <w:lang w:val="en-US" w:eastAsia="zh-CN"/>
        </w:rPr>
        <w:t>%；工资福利支出占总支出比值大于40%，实际为42.79%。药占比（药品收入占医疗收入的占比），小于20%，实际16%。</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 xml:space="preserve">b.  </w:t>
      </w:r>
      <w:r>
        <w:rPr>
          <w:rFonts w:hint="eastAsia" w:ascii="仿宋" w:hAnsi="仿宋" w:eastAsia="仿宋" w:cs="仿宋"/>
          <w:color w:val="000000"/>
          <w:sz w:val="32"/>
          <w:szCs w:val="32"/>
          <w:highlight w:val="none"/>
          <w:lang w:val="en-US" w:eastAsia="zh-CN"/>
        </w:rPr>
        <w:t>社会成本指标：改善患者就医环境。2023年2月新院搬迁</w:t>
      </w:r>
      <w:r>
        <w:rPr>
          <w:rFonts w:hint="eastAsia" w:eastAsia="仿宋" w:cs="仿宋"/>
          <w:color w:val="000000"/>
          <w:sz w:val="32"/>
          <w:szCs w:val="32"/>
          <w:highlight w:val="none"/>
          <w:lang w:val="en-US" w:eastAsia="zh-CN"/>
        </w:rPr>
        <w:t>，就诊环境改善，取得较好的社会反响</w:t>
      </w:r>
      <w:r>
        <w:rPr>
          <w:rFonts w:hint="eastAsia" w:ascii="仿宋" w:hAnsi="仿宋" w:eastAsia="仿宋" w:cs="仿宋"/>
          <w:color w:val="00000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 xml:space="preserve">C.  </w:t>
      </w:r>
      <w:r>
        <w:rPr>
          <w:rFonts w:hint="eastAsia" w:ascii="仿宋" w:hAnsi="仿宋" w:eastAsia="仿宋" w:cs="仿宋"/>
          <w:color w:val="000000"/>
          <w:sz w:val="32"/>
          <w:szCs w:val="32"/>
          <w:highlight w:val="none"/>
          <w:lang w:val="en-US" w:eastAsia="zh-CN"/>
        </w:rPr>
        <w:t>生态环境成本指标：医疗排放物达到环保要求。医疗废物废水集中处理后排放，取样标准达到环境要求。</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（二）预算投入情况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财政供养人员编制数176人，实际在职人数164人，控制率93.18%。</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单位年初预算为2577.44万元，全年预算数4658.62万元，全年执行数3593.49万元，执行率77%。</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三公经费预算数18万元，决算数13.99万元；办公经费0.8万元，决算数0.14万元，水费、电费、差旅费预算数18.17万元，决算数12.14万元，会议培训费53.96万元，决算数23.59万元。</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宋体" w:hAnsi="Times New Roman" w:eastAsia="仿宋" w:cs="宋体"/>
          <w:sz w:val="32"/>
          <w:szCs w:val="32"/>
          <w:lang w:eastAsia="zh-CN"/>
        </w:rPr>
      </w:pPr>
      <w:r>
        <w:rPr>
          <w:rFonts w:hint="eastAsia" w:ascii="宋体" w:hAnsi="Times New Roman" w:eastAsia="仿宋" w:cs="宋体"/>
          <w:sz w:val="32"/>
          <w:szCs w:val="32"/>
          <w:lang w:eastAsia="zh-CN"/>
        </w:rPr>
        <w:t>（四）工作开展情况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1、</w:t>
      </w:r>
      <w:r>
        <w:rPr>
          <w:rFonts w:hint="default" w:eastAsia="仿宋" w:cs="仿宋"/>
          <w:color w:val="000000"/>
          <w:sz w:val="32"/>
          <w:szCs w:val="32"/>
          <w:highlight w:val="none"/>
          <w:lang w:val="en-US" w:eastAsia="zh-CN"/>
        </w:rPr>
        <w:t>党建工作引领全局。</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全院干部职工认真学习贯彻党的二十大精神，扎实开展主题教育，全面践行新时代党的建设总要求，以党建工作新成效汇聚推动医院改革发展正能量。一是深入学习习近平新时代中国特色社会主义思想。二是深入开展“大走访、大调研”活动。三是开展丰富的党建活动。四是不断深化党建带团建，青年工作丰富多彩。五是着重强化清廉医院建设，打造过硬队伍。</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2、</w:t>
      </w:r>
      <w:r>
        <w:rPr>
          <w:rFonts w:hint="default" w:eastAsia="仿宋" w:cs="仿宋"/>
          <w:color w:val="000000"/>
          <w:sz w:val="32"/>
          <w:szCs w:val="32"/>
          <w:highlight w:val="none"/>
          <w:lang w:val="en-US" w:eastAsia="zh-CN"/>
        </w:rPr>
        <w:t>保健工作全面夯实。</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一是三级网络更加坚实。建立了以市妇幼保健院为中心，县级母婴保健技术服务机构为枢纽，乡镇卫生院为基础的三级母婴安全保障网络。2023年我市孕产妇死亡率7.88/10万，新生儿死亡率为0.87‰，婴儿死亡率为2.84‰，5岁以下儿童死亡率为3.9‰，全面达到省卫健委考核指标。二是辖区职能凸显强化。对我市保健工作相对薄弱的地区开展深度协作模式，促进了全市妇幼保健工作均衡发展。认真履行市级家庭健康指导员培训基地职责，对全市近2000名家庭健康指导员进行培训。三是出生缺陷防控效果显著。我市危重孕产妇救治体系评估、危重新生儿救治体系评估、出生缺陷防治核心指标排名在全省均名列第一方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3、</w:t>
      </w:r>
      <w:r>
        <w:rPr>
          <w:rFonts w:hint="default" w:eastAsia="仿宋" w:cs="仿宋"/>
          <w:color w:val="000000"/>
          <w:sz w:val="32"/>
          <w:szCs w:val="32"/>
          <w:highlight w:val="none"/>
          <w:lang w:val="en-US" w:eastAsia="zh-CN"/>
        </w:rPr>
        <w:t>医疗质量再上台阶。</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一是抓牢抓实质量控制。2022年，我院在全国妇幼保健机构绩效考核中成绩大幅提高，由2021年的第162名提升到第76名。二是加力推动专科建设。在做大做强优势学科的基础上，新增医疗美容中心、五官科、小儿外科等6个新学科，医院逐步走向小综合、大专科发展道路。加快推广妇幼中医适宜技术，创建了湖南省中医药临床示范基地、中国妇幼保健协会妇幼保健中医中西医结合标准化中医馆。全年服务性收入占比由之前的28%上升到</w:t>
      </w:r>
      <w:r>
        <w:rPr>
          <w:rFonts w:hint="eastAsia" w:eastAsia="仿宋" w:cs="仿宋"/>
          <w:color w:val="000000"/>
          <w:sz w:val="32"/>
          <w:szCs w:val="32"/>
          <w:highlight w:val="none"/>
          <w:lang w:val="en-US" w:eastAsia="zh-CN"/>
        </w:rPr>
        <w:t>33</w:t>
      </w:r>
      <w:bookmarkStart w:id="0" w:name="_GoBack"/>
      <w:bookmarkEnd w:id="0"/>
      <w:r>
        <w:rPr>
          <w:rFonts w:hint="default" w:eastAsia="仿宋" w:cs="仿宋"/>
          <w:color w:val="000000"/>
          <w:sz w:val="32"/>
          <w:szCs w:val="32"/>
          <w:highlight w:val="none"/>
          <w:lang w:val="en-US" w:eastAsia="zh-CN"/>
        </w:rPr>
        <w:t>%，中医服务性收入占比达到77%。三是做大做强学科特色。2023年6月，中国妇幼保健协会特殊儿童医教协同干预与发展专业委员会年会暨儿童言语干预与发展院长高峰论坛在我院召开，我院特殊儿童医教协同成为岳阳经验、岳阳模式及体系标杆，向全国推广。四是全面提升急救能力。2023年我院成功救治的最小早产儿胎龄为25周、出生体重700克，为岳阳市最小胎龄、最低出生体重早产儿。我院成为岳阳市公立医院高质量发展示范性医院建设单位。</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4、</w:t>
      </w:r>
      <w:r>
        <w:rPr>
          <w:rFonts w:hint="default" w:eastAsia="仿宋" w:cs="仿宋"/>
          <w:color w:val="000000"/>
          <w:sz w:val="32"/>
          <w:szCs w:val="32"/>
          <w:highlight w:val="none"/>
          <w:lang w:val="en-US" w:eastAsia="zh-CN"/>
        </w:rPr>
        <w:t>综合改革激发活力。</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一是实行六大部业务管理模式。按照三甲妇幼保健机构建设要求，将全院医疗保健业务调整为六大部进行管理，即孕产保健部、儿童保健部、妇女保健部、生殖与遗传医学部、综合临床部、辅助医疗技术部，由院领导兼任部长，明确工作职责，规范运行和管理。二是实施临床科室科主任、护士长竞聘上岗。2023年9月，科主任、护士长全体起立，重新参与竞聘，既有效激励了中层干部的干事创业热情，也为医院选拔了一批优秀青年管理人才。三是实施科室与员工“双向选择”。</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5、</w:t>
      </w:r>
      <w:r>
        <w:rPr>
          <w:rFonts w:hint="default" w:eastAsia="仿宋" w:cs="仿宋"/>
          <w:color w:val="000000"/>
          <w:sz w:val="32"/>
          <w:szCs w:val="32"/>
          <w:highlight w:val="none"/>
          <w:lang w:val="en-US" w:eastAsia="zh-CN"/>
        </w:rPr>
        <w:t>顺利通过三甲复审。</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2023年12月上旬省卫健委派评审专家评审，2024年1月30日，省卫健委正式发文予以确认通过。</w:t>
      </w:r>
    </w:p>
    <w:p>
      <w:pPr>
        <w:pStyle w:val="5"/>
        <w:keepNext w:val="0"/>
        <w:keepLines w:val="0"/>
        <w:pageBreakBefore w:val="0"/>
        <w:widowControl/>
        <w:numPr>
          <w:ilvl w:val="0"/>
          <w:numId w:val="7"/>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存在的问题及原因分析</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在预算执行的过程存在待解决的问题。财政项目资金的执行涉及实施部门和财务部门，实施部门负责按照实施方案执行，财务部门负责按照预算付款，两个部门分别负责具体实施和资金支付环节。如果科室缺少沟通，付款的财务科对项目的立项过程、实施方案缺乏了解，最终导致项目类资金执行率低。</w:t>
      </w:r>
    </w:p>
    <w:p>
      <w:pPr>
        <w:keepNext w:val="0"/>
        <w:keepLines w:val="0"/>
        <w:pageBreakBefore w:val="0"/>
        <w:widowControl/>
        <w:numPr>
          <w:ilvl w:val="0"/>
          <w:numId w:val="7"/>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因为实施和付款是两个科室，且预算指标不能调剂，因此制定如下措施：</w:t>
      </w:r>
    </w:p>
    <w:p>
      <w:pPr>
        <w:keepNext w:val="0"/>
        <w:keepLines w:val="0"/>
        <w:pageBreakBefore w:val="0"/>
        <w:widowControl/>
        <w:numPr>
          <w:ilvl w:val="0"/>
          <w:numId w:val="8"/>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实施部门与财务部门信息互通。包括立项资料、实施方案、指标下达文件等有关项目的信息。两个部门必须清楚了解项目的方方面面。</w:t>
      </w:r>
    </w:p>
    <w:p>
      <w:pPr>
        <w:keepNext w:val="0"/>
        <w:keepLines w:val="0"/>
        <w:pageBreakBefore w:val="0"/>
        <w:widowControl/>
        <w:numPr>
          <w:ilvl w:val="0"/>
          <w:numId w:val="8"/>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财务部门协助实施部门制定预算。财务部门擅长资金预算，对实施部门提出的付款计划，要从合规性、合理性、完整性方面给予指导，保障资金顺利支付，提高执行率。</w:t>
      </w:r>
    </w:p>
    <w:p>
      <w:pPr>
        <w:keepNext w:val="0"/>
        <w:keepLines w:val="0"/>
        <w:pageBreakBefore w:val="0"/>
        <w:widowControl/>
        <w:numPr>
          <w:ilvl w:val="0"/>
          <w:numId w:val="8"/>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梳理报账流程。报账环节也是提高执行率的关键。请款单及附件要完整，注明项目名称，严格执行“专款专用”原则，不漏付、不滥用。</w:t>
      </w:r>
    </w:p>
    <w:p>
      <w:pPr>
        <w:keepNext w:val="0"/>
        <w:keepLines w:val="0"/>
        <w:pageBreakBefore w:val="0"/>
        <w:widowControl/>
        <w:numPr>
          <w:ilvl w:val="0"/>
          <w:numId w:val="7"/>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部门整体支出绩效自评结果拟应用和公开情况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部门整体支出绩效自评结果与当年度决算一同公开</w:t>
      </w:r>
    </w:p>
    <w:p>
      <w:pPr>
        <w:keepNext w:val="0"/>
        <w:keepLines w:val="0"/>
        <w:pageBreakBefore w:val="0"/>
        <w:widowControl/>
        <w:numPr>
          <w:ilvl w:val="0"/>
          <w:numId w:val="7"/>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其他需要说明的情况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r>
        <w:rPr>
          <w:rFonts w:hint="eastAsia" w:ascii="仿宋_GB2312" w:hAnsi="仿宋_GB2312" w:eastAsia="仿宋_GB2312" w:cs="仿宋_GB2312"/>
          <w:sz w:val="32"/>
          <w:szCs w:val="32"/>
          <w:highlight w:val="none"/>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8F746E"/>
    <w:multiLevelType w:val="singleLevel"/>
    <w:tmpl w:val="B18F746E"/>
    <w:lvl w:ilvl="0" w:tentative="0">
      <w:start w:val="2"/>
      <w:numFmt w:val="chineseCounting"/>
      <w:suff w:val="nothing"/>
      <w:lvlText w:val="（%1）"/>
      <w:lvlJc w:val="left"/>
      <w:rPr>
        <w:rFonts w:hint="eastAsia"/>
      </w:rPr>
    </w:lvl>
  </w:abstractNum>
  <w:abstractNum w:abstractNumId="1">
    <w:nsid w:val="E55653DD"/>
    <w:multiLevelType w:val="singleLevel"/>
    <w:tmpl w:val="E55653DD"/>
    <w:lvl w:ilvl="0" w:tentative="0">
      <w:start w:val="1"/>
      <w:numFmt w:val="decimal"/>
      <w:suff w:val="nothing"/>
      <w:lvlText w:val="（%1）"/>
      <w:lvlJc w:val="left"/>
    </w:lvl>
  </w:abstractNum>
  <w:abstractNum w:abstractNumId="2">
    <w:nsid w:val="ED92D239"/>
    <w:multiLevelType w:val="singleLevel"/>
    <w:tmpl w:val="ED92D239"/>
    <w:lvl w:ilvl="0" w:tentative="0">
      <w:start w:val="7"/>
      <w:numFmt w:val="chineseCounting"/>
      <w:suff w:val="nothing"/>
      <w:lvlText w:val="%1、"/>
      <w:lvlJc w:val="left"/>
      <w:rPr>
        <w:rFonts w:hint="eastAsia"/>
      </w:rPr>
    </w:lvl>
  </w:abstractNum>
  <w:abstractNum w:abstractNumId="3">
    <w:nsid w:val="04B6E001"/>
    <w:multiLevelType w:val="singleLevel"/>
    <w:tmpl w:val="04B6E001"/>
    <w:lvl w:ilvl="0" w:tentative="0">
      <w:start w:val="1"/>
      <w:numFmt w:val="lowerLetter"/>
      <w:lvlText w:val="%1."/>
      <w:lvlJc w:val="left"/>
      <w:pPr>
        <w:ind w:left="425" w:hanging="425"/>
      </w:pPr>
      <w:rPr>
        <w:rFonts w:hint="default"/>
      </w:rPr>
    </w:lvl>
  </w:abstractNum>
  <w:abstractNum w:abstractNumId="4">
    <w:nsid w:val="10771683"/>
    <w:multiLevelType w:val="singleLevel"/>
    <w:tmpl w:val="10771683"/>
    <w:lvl w:ilvl="0" w:tentative="0">
      <w:start w:val="1"/>
      <w:numFmt w:val="decimal"/>
      <w:suff w:val="nothing"/>
      <w:lvlText w:val="（%1）"/>
      <w:lvlJc w:val="left"/>
      <w:pPr>
        <w:ind w:left="199"/>
      </w:pPr>
    </w:lvl>
  </w:abstractNum>
  <w:abstractNum w:abstractNumId="5">
    <w:nsid w:val="2A71F634"/>
    <w:multiLevelType w:val="singleLevel"/>
    <w:tmpl w:val="2A71F634"/>
    <w:lvl w:ilvl="0" w:tentative="0">
      <w:start w:val="1"/>
      <w:numFmt w:val="chineseCounting"/>
      <w:suff w:val="nothing"/>
      <w:lvlText w:val="%1、"/>
      <w:lvlJc w:val="left"/>
      <w:rPr>
        <w:rFonts w:hint="eastAsia"/>
      </w:rPr>
    </w:lvl>
  </w:abstractNum>
  <w:abstractNum w:abstractNumId="6">
    <w:nsid w:val="38E78246"/>
    <w:multiLevelType w:val="singleLevel"/>
    <w:tmpl w:val="38E78246"/>
    <w:lvl w:ilvl="0" w:tentative="0">
      <w:start w:val="1"/>
      <w:numFmt w:val="lowerLetter"/>
      <w:lvlText w:val="%1."/>
      <w:lvlJc w:val="left"/>
      <w:pPr>
        <w:ind w:left="425" w:hanging="425"/>
      </w:pPr>
      <w:rPr>
        <w:rFonts w:hint="default"/>
      </w:rPr>
    </w:lvl>
  </w:abstractNum>
  <w:abstractNum w:abstractNumId="7">
    <w:nsid w:val="78931998"/>
    <w:multiLevelType w:val="singleLevel"/>
    <w:tmpl w:val="78931998"/>
    <w:lvl w:ilvl="0" w:tentative="0">
      <w:start w:val="1"/>
      <w:numFmt w:val="decimal"/>
      <w:suff w:val="nothing"/>
      <w:lvlText w:val="（%1）"/>
      <w:lvlJc w:val="left"/>
    </w:lvl>
  </w:abstractNum>
  <w:num w:numId="1">
    <w:abstractNumId w:val="5"/>
  </w:num>
  <w:num w:numId="2">
    <w:abstractNumId w:val="1"/>
  </w:num>
  <w:num w:numId="3">
    <w:abstractNumId w:val="0"/>
  </w:num>
  <w:num w:numId="4">
    <w:abstractNumId w:val="4"/>
  </w:num>
  <w:num w:numId="5">
    <w:abstractNumId w:val="6"/>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472A4D"/>
    <w:rsid w:val="01AD6BF4"/>
    <w:rsid w:val="023A16C8"/>
    <w:rsid w:val="083936F9"/>
    <w:rsid w:val="09E23546"/>
    <w:rsid w:val="0F542E75"/>
    <w:rsid w:val="11C80E96"/>
    <w:rsid w:val="125744F6"/>
    <w:rsid w:val="12BE4BCE"/>
    <w:rsid w:val="175504D4"/>
    <w:rsid w:val="1DB64CC8"/>
    <w:rsid w:val="1E620680"/>
    <w:rsid w:val="1E966D88"/>
    <w:rsid w:val="26B510E4"/>
    <w:rsid w:val="29784198"/>
    <w:rsid w:val="2E227591"/>
    <w:rsid w:val="39006B4A"/>
    <w:rsid w:val="3C923D3B"/>
    <w:rsid w:val="3D105466"/>
    <w:rsid w:val="3DCD0ADA"/>
    <w:rsid w:val="3DEC1895"/>
    <w:rsid w:val="45537742"/>
    <w:rsid w:val="46BE25FD"/>
    <w:rsid w:val="49530E7A"/>
    <w:rsid w:val="57E06C27"/>
    <w:rsid w:val="5E9E22A6"/>
    <w:rsid w:val="5EEB49C6"/>
    <w:rsid w:val="68B54877"/>
    <w:rsid w:val="6BFB68C3"/>
    <w:rsid w:val="70BB5DB3"/>
    <w:rsid w:val="72472A4D"/>
    <w:rsid w:val="792A34F5"/>
    <w:rsid w:val="7AC46414"/>
    <w:rsid w:val="7D3B3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5">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3402</Words>
  <Characters>3642</Characters>
  <Lines>0</Lines>
  <Paragraphs>0</Paragraphs>
  <TotalTime>49</TotalTime>
  <ScaleCrop>false</ScaleCrop>
  <LinksUpToDate>false</LinksUpToDate>
  <CharactersWithSpaces>3653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2024-05-27T08:33:00Z</dcterms:created>
  <dc:creator>Administrator</dc:creator>
  <cp:lastModifiedBy>Administrator</cp:lastModifiedBy>
  <dcterms:modified xsi:type="dcterms:W3CDTF">2024-06-28T01:25:50Z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ICV">
    <vt:lpwstr>A04BFF96A9A54A7DA5767204559B3467</vt:lpwstr>
  </property>
</Properties>
</file>